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1CE9" w:rsidRPr="00CF229D" w:rsidRDefault="00BE1CE9" w:rsidP="00BE1CE9">
      <w:pPr>
        <w:rPr>
          <w:rFonts w:asciiTheme="minorHAnsi" w:hAnsiTheme="minorHAnsi"/>
          <w:sz w:val="24"/>
          <w:szCs w:val="24"/>
        </w:rPr>
      </w:pPr>
    </w:p>
    <w:p w:rsidR="00BE1CE9" w:rsidRDefault="00BE1CE9" w:rsidP="00BE1CE9">
      <w:pPr>
        <w:autoSpaceDE w:val="0"/>
        <w:autoSpaceDN w:val="0"/>
        <w:adjustRightInd w:val="0"/>
        <w:spacing w:after="0" w:line="240" w:lineRule="auto"/>
        <w:jc w:val="both"/>
        <w:rPr>
          <w:rFonts w:asciiTheme="minorHAnsi" w:eastAsiaTheme="minorHAnsi" w:hAnsiTheme="minorHAnsi" w:cs="Calibri"/>
          <w:sz w:val="24"/>
          <w:szCs w:val="24"/>
        </w:rPr>
      </w:pPr>
    </w:p>
    <w:p w:rsidR="00BE1CE9" w:rsidRDefault="00BE1CE9" w:rsidP="00BE1CE9">
      <w:pPr>
        <w:autoSpaceDE w:val="0"/>
        <w:autoSpaceDN w:val="0"/>
        <w:adjustRightInd w:val="0"/>
        <w:spacing w:after="0" w:line="240" w:lineRule="auto"/>
        <w:jc w:val="both"/>
        <w:rPr>
          <w:rFonts w:asciiTheme="minorHAnsi" w:eastAsiaTheme="minorHAnsi" w:hAnsiTheme="minorHAnsi" w:cs="Calibri"/>
          <w:sz w:val="24"/>
          <w:szCs w:val="24"/>
        </w:rPr>
      </w:pPr>
    </w:p>
    <w:p w:rsidR="00BE1CE9" w:rsidRDefault="00BE1CE9" w:rsidP="00BE1CE9">
      <w:pPr>
        <w:autoSpaceDE w:val="0"/>
        <w:autoSpaceDN w:val="0"/>
        <w:adjustRightInd w:val="0"/>
        <w:spacing w:after="0" w:line="240" w:lineRule="auto"/>
        <w:jc w:val="center"/>
        <w:rPr>
          <w:rFonts w:asciiTheme="minorHAnsi" w:eastAsiaTheme="minorHAnsi" w:hAnsiTheme="minorHAnsi" w:cs="Calibri"/>
          <w:b/>
          <w:sz w:val="24"/>
          <w:szCs w:val="24"/>
        </w:rPr>
      </w:pPr>
      <w:r w:rsidRPr="00A04002">
        <w:rPr>
          <w:rFonts w:asciiTheme="minorHAnsi" w:eastAsiaTheme="minorHAnsi" w:hAnsiTheme="minorHAnsi" w:cs="Calibri"/>
          <w:b/>
          <w:sz w:val="24"/>
          <w:szCs w:val="24"/>
        </w:rPr>
        <w:t>ERATA</w:t>
      </w:r>
    </w:p>
    <w:p w:rsidR="00BE1CE9" w:rsidRDefault="00BE1CE9" w:rsidP="00BE1CE9">
      <w:pPr>
        <w:autoSpaceDE w:val="0"/>
        <w:autoSpaceDN w:val="0"/>
        <w:adjustRightInd w:val="0"/>
        <w:spacing w:after="0" w:line="240" w:lineRule="auto"/>
        <w:jc w:val="center"/>
        <w:rPr>
          <w:rFonts w:asciiTheme="minorHAnsi" w:eastAsiaTheme="minorHAnsi" w:hAnsiTheme="minorHAnsi" w:cs="Calibri"/>
          <w:b/>
          <w:sz w:val="24"/>
          <w:szCs w:val="24"/>
        </w:rPr>
      </w:pPr>
    </w:p>
    <w:p w:rsidR="00BE1CE9" w:rsidRDefault="00BE1CE9" w:rsidP="00BE1CE9">
      <w:pPr>
        <w:autoSpaceDE w:val="0"/>
        <w:autoSpaceDN w:val="0"/>
        <w:adjustRightInd w:val="0"/>
        <w:spacing w:after="0" w:line="240" w:lineRule="auto"/>
        <w:jc w:val="center"/>
        <w:rPr>
          <w:rFonts w:asciiTheme="minorHAnsi" w:eastAsiaTheme="minorHAnsi" w:hAnsiTheme="minorHAnsi" w:cs="Calibri"/>
          <w:b/>
          <w:sz w:val="24"/>
          <w:szCs w:val="24"/>
        </w:rPr>
      </w:pPr>
    </w:p>
    <w:p w:rsidR="00BE1CE9" w:rsidRDefault="00BE1CE9" w:rsidP="00BE1CE9">
      <w:pPr>
        <w:autoSpaceDE w:val="0"/>
        <w:autoSpaceDN w:val="0"/>
        <w:adjustRightInd w:val="0"/>
        <w:spacing w:after="0" w:line="240" w:lineRule="auto"/>
        <w:jc w:val="center"/>
        <w:rPr>
          <w:rFonts w:asciiTheme="minorHAnsi" w:eastAsiaTheme="minorHAnsi" w:hAnsiTheme="minorHAnsi" w:cs="Calibri"/>
          <w:b/>
          <w:sz w:val="24"/>
          <w:szCs w:val="24"/>
        </w:rPr>
      </w:pPr>
    </w:p>
    <w:p w:rsidR="00BE1CE9" w:rsidRDefault="00BE1CE9" w:rsidP="00BE1CE9">
      <w:pPr>
        <w:autoSpaceDE w:val="0"/>
        <w:autoSpaceDN w:val="0"/>
        <w:adjustRightInd w:val="0"/>
        <w:spacing w:after="0" w:line="240" w:lineRule="auto"/>
        <w:jc w:val="both"/>
        <w:rPr>
          <w:rFonts w:eastAsiaTheme="minorHAnsi" w:cs="Calibri"/>
          <w:b/>
          <w:bCs/>
          <w:sz w:val="24"/>
          <w:szCs w:val="24"/>
        </w:rPr>
      </w:pPr>
      <w:r>
        <w:rPr>
          <w:rFonts w:asciiTheme="minorHAnsi" w:eastAsiaTheme="minorHAnsi" w:hAnsiTheme="minorHAnsi" w:cs="Calibri"/>
          <w:b/>
          <w:sz w:val="24"/>
          <w:szCs w:val="24"/>
        </w:rPr>
        <w:tab/>
        <w:t xml:space="preserve">la </w:t>
      </w:r>
      <w:r w:rsidRPr="00A04002">
        <w:rPr>
          <w:rFonts w:asciiTheme="minorHAnsi" w:eastAsiaTheme="minorHAnsi" w:hAnsiTheme="minorHAnsi" w:cs="Calibri"/>
          <w:b/>
          <w:sz w:val="24"/>
          <w:szCs w:val="24"/>
        </w:rPr>
        <w:t>anun</w:t>
      </w:r>
      <w:r w:rsidR="00450776">
        <w:rPr>
          <w:rFonts w:asciiTheme="minorHAnsi" w:eastAsiaTheme="minorHAnsi" w:hAnsiTheme="minorHAnsi" w:cs="Calibri"/>
          <w:b/>
          <w:sz w:val="24"/>
          <w:szCs w:val="24"/>
        </w:rPr>
        <w:t>ț</w:t>
      </w:r>
      <w:r w:rsidRPr="00A04002">
        <w:rPr>
          <w:rFonts w:asciiTheme="minorHAnsi" w:eastAsiaTheme="minorHAnsi" w:hAnsiTheme="minorHAnsi" w:cs="Calibri"/>
          <w:b/>
          <w:sz w:val="24"/>
          <w:szCs w:val="24"/>
        </w:rPr>
        <w:t>ul de achizi</w:t>
      </w:r>
      <w:r w:rsidR="00450776">
        <w:rPr>
          <w:rFonts w:asciiTheme="minorHAnsi" w:eastAsiaTheme="minorHAnsi" w:hAnsiTheme="minorHAnsi" w:cs="Calibri"/>
          <w:b/>
          <w:sz w:val="24"/>
          <w:szCs w:val="24"/>
        </w:rPr>
        <w:t>ț</w:t>
      </w:r>
      <w:r w:rsidRPr="00A04002">
        <w:rPr>
          <w:rFonts w:asciiTheme="minorHAnsi" w:eastAsiaTheme="minorHAnsi" w:hAnsiTheme="minorHAnsi" w:cs="Calibri"/>
          <w:b/>
          <w:sz w:val="24"/>
          <w:szCs w:val="24"/>
        </w:rPr>
        <w:t>ie de</w:t>
      </w:r>
      <w:r>
        <w:rPr>
          <w:rFonts w:asciiTheme="minorHAnsi" w:eastAsiaTheme="minorHAnsi" w:hAnsiTheme="minorHAnsi" w:cs="Calibri"/>
          <w:sz w:val="24"/>
          <w:szCs w:val="24"/>
        </w:rPr>
        <w:t xml:space="preserve"> </w:t>
      </w:r>
      <w:r>
        <w:rPr>
          <w:rFonts w:eastAsiaTheme="minorHAnsi" w:cs="Calibri"/>
          <w:b/>
          <w:bCs/>
          <w:sz w:val="24"/>
          <w:szCs w:val="24"/>
        </w:rPr>
        <w:t xml:space="preserve">servicii de formare profesională şi pachete conţinând masă și transport participanţi în cadrul proiectului „Calificarea meseriașilor tradiționali romi”, proiect finantat din  </w:t>
      </w:r>
      <w:r w:rsidRPr="00A04002">
        <w:rPr>
          <w:rFonts w:eastAsiaTheme="minorHAnsi" w:cs="Calibri"/>
          <w:b/>
          <w:bCs/>
          <w:sz w:val="24"/>
          <w:szCs w:val="24"/>
        </w:rPr>
        <w:t>Fondul Social European</w:t>
      </w:r>
      <w:r>
        <w:rPr>
          <w:rFonts w:eastAsiaTheme="minorHAnsi" w:cs="Calibri"/>
          <w:b/>
          <w:bCs/>
          <w:sz w:val="24"/>
          <w:szCs w:val="24"/>
        </w:rPr>
        <w:t>, POSDRU</w:t>
      </w:r>
      <w:r w:rsidRPr="00A04002">
        <w:rPr>
          <w:rFonts w:eastAsiaTheme="minorHAnsi" w:cs="Calibri"/>
          <w:b/>
          <w:bCs/>
          <w:sz w:val="24"/>
          <w:szCs w:val="24"/>
        </w:rPr>
        <w:t xml:space="preserve"> 2007 – 2013</w:t>
      </w:r>
      <w:r>
        <w:rPr>
          <w:rFonts w:eastAsiaTheme="minorHAnsi" w:cs="Calibri"/>
          <w:b/>
          <w:bCs/>
          <w:sz w:val="24"/>
          <w:szCs w:val="24"/>
        </w:rPr>
        <w:t xml:space="preserve">, </w:t>
      </w:r>
      <w:r w:rsidRPr="00A04002">
        <w:rPr>
          <w:rFonts w:eastAsiaTheme="minorHAnsi" w:cs="Calibri"/>
          <w:b/>
          <w:bCs/>
          <w:sz w:val="24"/>
          <w:szCs w:val="24"/>
        </w:rPr>
        <w:t>Axa prioritară 6 „Promovarea incluziunii sociale”</w:t>
      </w:r>
      <w:r>
        <w:rPr>
          <w:rFonts w:eastAsiaTheme="minorHAnsi" w:cs="Calibri"/>
          <w:b/>
          <w:bCs/>
          <w:sz w:val="24"/>
          <w:szCs w:val="24"/>
        </w:rPr>
        <w:t xml:space="preserve">, </w:t>
      </w:r>
      <w:r w:rsidRPr="00A04002">
        <w:rPr>
          <w:rFonts w:eastAsiaTheme="minorHAnsi" w:cs="Calibri"/>
          <w:b/>
          <w:bCs/>
          <w:sz w:val="24"/>
          <w:szCs w:val="24"/>
        </w:rPr>
        <w:t>Domeniul major de intervenţie 6.2. „Îmbunătăţirea accesului şi a participării grupurilor vulnerabile pe piaţa muncii”</w:t>
      </w:r>
      <w:r>
        <w:rPr>
          <w:rFonts w:eastAsiaTheme="minorHAnsi" w:cs="Calibri"/>
          <w:b/>
          <w:bCs/>
          <w:sz w:val="24"/>
          <w:szCs w:val="24"/>
        </w:rPr>
        <w:t>, n</w:t>
      </w:r>
      <w:r w:rsidRPr="00A04002">
        <w:rPr>
          <w:rFonts w:eastAsiaTheme="minorHAnsi" w:cs="Calibri"/>
          <w:b/>
          <w:bCs/>
          <w:sz w:val="24"/>
          <w:szCs w:val="24"/>
        </w:rPr>
        <w:t>umărul de identificare al contractului: POSDRU/118/6.2/G/124568</w:t>
      </w:r>
    </w:p>
    <w:p w:rsidR="00BE1CE9" w:rsidRDefault="00BE1CE9" w:rsidP="00BE1CE9">
      <w:pPr>
        <w:autoSpaceDE w:val="0"/>
        <w:autoSpaceDN w:val="0"/>
        <w:adjustRightInd w:val="0"/>
        <w:spacing w:after="0" w:line="240" w:lineRule="auto"/>
        <w:jc w:val="both"/>
        <w:rPr>
          <w:rFonts w:eastAsiaTheme="minorHAnsi" w:cs="Calibri"/>
          <w:b/>
          <w:bCs/>
          <w:sz w:val="24"/>
          <w:szCs w:val="24"/>
        </w:rPr>
      </w:pPr>
    </w:p>
    <w:p w:rsidR="00BE1CE9" w:rsidRDefault="00BE1CE9" w:rsidP="00BE1CE9">
      <w:pPr>
        <w:autoSpaceDE w:val="0"/>
        <w:autoSpaceDN w:val="0"/>
        <w:adjustRightInd w:val="0"/>
        <w:spacing w:after="0" w:line="240" w:lineRule="auto"/>
        <w:jc w:val="both"/>
        <w:rPr>
          <w:rFonts w:eastAsiaTheme="minorHAnsi" w:cs="Calibri"/>
          <w:b/>
          <w:bCs/>
          <w:sz w:val="24"/>
          <w:szCs w:val="24"/>
        </w:rPr>
      </w:pPr>
    </w:p>
    <w:p w:rsidR="00BE1CE9" w:rsidRPr="0091753D" w:rsidRDefault="00BE1CE9" w:rsidP="00BE1CE9">
      <w:pPr>
        <w:autoSpaceDE w:val="0"/>
        <w:autoSpaceDN w:val="0"/>
        <w:adjustRightInd w:val="0"/>
        <w:spacing w:after="0" w:line="240" w:lineRule="auto"/>
        <w:ind w:firstLine="705"/>
        <w:jc w:val="both"/>
        <w:rPr>
          <w:rFonts w:eastAsiaTheme="minorHAnsi" w:cs="Calibri"/>
          <w:sz w:val="24"/>
          <w:szCs w:val="24"/>
        </w:rPr>
      </w:pPr>
      <w:r w:rsidRPr="0091753D">
        <w:rPr>
          <w:rFonts w:eastAsiaTheme="minorHAnsi" w:cs="Calibri"/>
          <w:sz w:val="24"/>
          <w:szCs w:val="24"/>
        </w:rPr>
        <w:t>Deoarece cursul de confecţioner construcţii metalice nu poate fi autorizat de către Autoritatea Naţională pentru Calificări, neexistând un standard ocupaţional aprobat pentru acesta, se elimină achiziţia acestui serviciu din documentaţia de atribuire, urmând ca, după aprobarea noii denumiri a cursului de către autoritatea finanţatoare, să facă obiectul unei alte proceduri de achiziţie.</w:t>
      </w:r>
    </w:p>
    <w:p w:rsidR="00BE1CE9" w:rsidRPr="0091753D" w:rsidRDefault="00BE1CE9" w:rsidP="00BE1CE9">
      <w:pPr>
        <w:autoSpaceDE w:val="0"/>
        <w:autoSpaceDN w:val="0"/>
        <w:adjustRightInd w:val="0"/>
        <w:spacing w:after="0" w:line="240" w:lineRule="auto"/>
        <w:jc w:val="both"/>
        <w:rPr>
          <w:rFonts w:eastAsiaTheme="minorHAnsi" w:cs="Calibri"/>
          <w:sz w:val="24"/>
          <w:szCs w:val="24"/>
        </w:rPr>
      </w:pPr>
      <w:r w:rsidRPr="0091753D">
        <w:rPr>
          <w:rFonts w:eastAsiaTheme="minorHAnsi" w:cs="Calibri"/>
          <w:sz w:val="24"/>
          <w:szCs w:val="24"/>
        </w:rPr>
        <w:tab/>
        <w:t>Valorile estimate ale celor două loturi ce fac obiectul procedurii de achiziţie, se modifică în mod corespunzător, astfel:</w:t>
      </w:r>
    </w:p>
    <w:p w:rsidR="00BE1CE9" w:rsidRPr="0091753D" w:rsidRDefault="00BE1CE9" w:rsidP="00BE1CE9">
      <w:pPr>
        <w:numPr>
          <w:ilvl w:val="0"/>
          <w:numId w:val="3"/>
        </w:numPr>
        <w:autoSpaceDE w:val="0"/>
        <w:autoSpaceDN w:val="0"/>
        <w:adjustRightInd w:val="0"/>
        <w:spacing w:after="0" w:line="240" w:lineRule="auto"/>
        <w:jc w:val="both"/>
        <w:rPr>
          <w:rFonts w:eastAsiaTheme="minorHAnsi" w:cs="Calibri"/>
          <w:sz w:val="24"/>
          <w:szCs w:val="24"/>
        </w:rPr>
      </w:pPr>
      <w:r w:rsidRPr="0091753D">
        <w:rPr>
          <w:rFonts w:eastAsiaTheme="minorHAnsi" w:cs="Calibri"/>
          <w:sz w:val="24"/>
          <w:szCs w:val="24"/>
        </w:rPr>
        <w:t>lotul 1 servicii de formare profesională -  80250 lei</w:t>
      </w:r>
    </w:p>
    <w:p w:rsidR="00BE1CE9" w:rsidRPr="0091753D" w:rsidRDefault="00BE1CE9" w:rsidP="00BE1CE9">
      <w:pPr>
        <w:numPr>
          <w:ilvl w:val="0"/>
          <w:numId w:val="3"/>
        </w:numPr>
        <w:autoSpaceDE w:val="0"/>
        <w:autoSpaceDN w:val="0"/>
        <w:adjustRightInd w:val="0"/>
        <w:spacing w:after="0" w:line="240" w:lineRule="auto"/>
        <w:jc w:val="both"/>
        <w:rPr>
          <w:rFonts w:eastAsiaTheme="minorHAnsi" w:cs="Calibri"/>
          <w:sz w:val="24"/>
          <w:szCs w:val="24"/>
        </w:rPr>
      </w:pPr>
      <w:r w:rsidRPr="0091753D">
        <w:rPr>
          <w:rFonts w:eastAsiaTheme="minorHAnsi" w:cs="Calibri"/>
          <w:sz w:val="24"/>
          <w:szCs w:val="24"/>
        </w:rPr>
        <w:t>lotul 2 pachete conţinând masă și transport participanţi – 123387 lei</w:t>
      </w:r>
    </w:p>
    <w:p w:rsidR="00BE1CE9" w:rsidRPr="0091753D" w:rsidRDefault="00BE1CE9" w:rsidP="00BE1CE9">
      <w:pPr>
        <w:autoSpaceDE w:val="0"/>
        <w:autoSpaceDN w:val="0"/>
        <w:adjustRightInd w:val="0"/>
        <w:spacing w:after="0" w:line="240" w:lineRule="auto"/>
        <w:ind w:firstLine="705"/>
        <w:jc w:val="both"/>
        <w:rPr>
          <w:rFonts w:eastAsiaTheme="minorHAnsi" w:cs="Calibri"/>
          <w:sz w:val="24"/>
          <w:szCs w:val="24"/>
        </w:rPr>
      </w:pPr>
      <w:r w:rsidRPr="0091753D">
        <w:rPr>
          <w:rFonts w:eastAsiaTheme="minorHAnsi" w:cs="Calibri"/>
          <w:sz w:val="24"/>
          <w:szCs w:val="24"/>
        </w:rPr>
        <w:t>Pentru lotul 2 pachete conţinând masă și transport participanţi, se modific</w:t>
      </w:r>
      <w:r>
        <w:rPr>
          <w:rFonts w:eastAsiaTheme="minorHAnsi" w:cs="Calibri"/>
          <w:sz w:val="24"/>
          <w:szCs w:val="24"/>
        </w:rPr>
        <w:t>ă</w:t>
      </w:r>
      <w:r w:rsidRPr="0091753D">
        <w:rPr>
          <w:rFonts w:eastAsiaTheme="minorHAnsi" w:cs="Calibri"/>
          <w:sz w:val="24"/>
          <w:szCs w:val="24"/>
        </w:rPr>
        <w:t xml:space="preserve"> şi următoarele date:</w:t>
      </w:r>
    </w:p>
    <w:p w:rsidR="00BE1CE9" w:rsidRPr="0091753D" w:rsidRDefault="00BE1CE9" w:rsidP="00BE1CE9">
      <w:pPr>
        <w:numPr>
          <w:ilvl w:val="0"/>
          <w:numId w:val="3"/>
        </w:numPr>
        <w:autoSpaceDE w:val="0"/>
        <w:autoSpaceDN w:val="0"/>
        <w:adjustRightInd w:val="0"/>
        <w:spacing w:after="0" w:line="240" w:lineRule="auto"/>
        <w:jc w:val="both"/>
        <w:rPr>
          <w:rFonts w:eastAsiaTheme="minorHAnsi" w:cs="Calibri"/>
          <w:sz w:val="24"/>
          <w:szCs w:val="24"/>
        </w:rPr>
      </w:pPr>
      <w:r w:rsidRPr="0091753D">
        <w:rPr>
          <w:rFonts w:eastAsiaTheme="minorHAnsi" w:cs="Calibri"/>
          <w:sz w:val="24"/>
          <w:szCs w:val="24"/>
        </w:rPr>
        <w:t>numărul orientativ de curse dus-întors cu participanţi, acesta fiind de 480.</w:t>
      </w:r>
    </w:p>
    <w:p w:rsidR="00BE1CE9" w:rsidRPr="0091753D" w:rsidRDefault="00BE1CE9" w:rsidP="00BE1CE9">
      <w:pPr>
        <w:numPr>
          <w:ilvl w:val="0"/>
          <w:numId w:val="3"/>
        </w:numPr>
        <w:autoSpaceDE w:val="0"/>
        <w:autoSpaceDN w:val="0"/>
        <w:adjustRightInd w:val="0"/>
        <w:spacing w:after="0" w:line="240" w:lineRule="auto"/>
        <w:jc w:val="both"/>
        <w:rPr>
          <w:rFonts w:eastAsiaTheme="minorHAnsi" w:cs="Calibri"/>
          <w:sz w:val="24"/>
          <w:szCs w:val="24"/>
        </w:rPr>
      </w:pPr>
      <w:r w:rsidRPr="0091753D">
        <w:rPr>
          <w:rFonts w:eastAsiaTheme="minorHAnsi" w:cs="Calibri"/>
          <w:sz w:val="24"/>
          <w:szCs w:val="24"/>
        </w:rPr>
        <w:t>numărul total de</w:t>
      </w:r>
      <w:r w:rsidR="00450776">
        <w:rPr>
          <w:rFonts w:eastAsiaTheme="minorHAnsi" w:cs="Calibri"/>
          <w:sz w:val="24"/>
          <w:szCs w:val="24"/>
        </w:rPr>
        <w:t xml:space="preserve"> persoane pentru care se asigură</w:t>
      </w:r>
      <w:r w:rsidRPr="0091753D">
        <w:rPr>
          <w:rFonts w:eastAsiaTheme="minorHAnsi" w:cs="Calibri"/>
          <w:sz w:val="24"/>
          <w:szCs w:val="24"/>
        </w:rPr>
        <w:t xml:space="preserve"> pachete conținând mas</w:t>
      </w:r>
      <w:r>
        <w:rPr>
          <w:rFonts w:eastAsiaTheme="minorHAnsi" w:cs="Calibri"/>
          <w:sz w:val="24"/>
          <w:szCs w:val="24"/>
        </w:rPr>
        <w:t>ă</w:t>
      </w:r>
      <w:r w:rsidRPr="0091753D">
        <w:rPr>
          <w:rFonts w:eastAsiaTheme="minorHAnsi" w:cs="Calibri"/>
          <w:sz w:val="24"/>
          <w:szCs w:val="24"/>
        </w:rPr>
        <w:t xml:space="preserve"> și transport pe durata a 60 de zile a fiecăruia dintre cele 4 cursuri: 85 persoane.</w:t>
      </w:r>
    </w:p>
    <w:p w:rsidR="00BE1CE9" w:rsidRPr="0091753D" w:rsidRDefault="00BE1CE9" w:rsidP="00BE1CE9">
      <w:pPr>
        <w:autoSpaceDE w:val="0"/>
        <w:autoSpaceDN w:val="0"/>
        <w:adjustRightInd w:val="0"/>
        <w:spacing w:after="0" w:line="240" w:lineRule="auto"/>
        <w:ind w:left="780"/>
        <w:jc w:val="both"/>
        <w:rPr>
          <w:rFonts w:eastAsiaTheme="minorHAnsi" w:cs="Calibri"/>
          <w:sz w:val="24"/>
          <w:szCs w:val="24"/>
        </w:rPr>
      </w:pPr>
    </w:p>
    <w:p w:rsidR="00BE1CE9" w:rsidRDefault="00BE1CE9" w:rsidP="00BE1CE9">
      <w:pPr>
        <w:pStyle w:val="ListParagraph"/>
        <w:autoSpaceDE w:val="0"/>
        <w:autoSpaceDN w:val="0"/>
        <w:adjustRightInd w:val="0"/>
        <w:spacing w:after="0" w:line="240" w:lineRule="auto"/>
        <w:ind w:left="774"/>
        <w:jc w:val="both"/>
        <w:rPr>
          <w:rFonts w:eastAsiaTheme="minorHAnsi" w:cs="Calibri"/>
          <w:sz w:val="24"/>
          <w:szCs w:val="24"/>
        </w:rPr>
      </w:pPr>
    </w:p>
    <w:p w:rsidR="00BE1CE9" w:rsidRDefault="00BE1CE9" w:rsidP="00BE1CE9">
      <w:pPr>
        <w:pStyle w:val="ListParagraph"/>
        <w:autoSpaceDE w:val="0"/>
        <w:autoSpaceDN w:val="0"/>
        <w:adjustRightInd w:val="0"/>
        <w:spacing w:after="0" w:line="240" w:lineRule="auto"/>
        <w:ind w:left="774"/>
        <w:jc w:val="both"/>
        <w:rPr>
          <w:rFonts w:eastAsiaTheme="minorHAnsi" w:cs="Calibri"/>
          <w:sz w:val="24"/>
          <w:szCs w:val="24"/>
        </w:rPr>
      </w:pPr>
    </w:p>
    <w:p w:rsidR="00BE1CE9" w:rsidRDefault="00BE1CE9" w:rsidP="00BE1CE9">
      <w:pPr>
        <w:pStyle w:val="ListParagraph"/>
        <w:autoSpaceDE w:val="0"/>
        <w:autoSpaceDN w:val="0"/>
        <w:adjustRightInd w:val="0"/>
        <w:spacing w:after="0" w:line="240" w:lineRule="auto"/>
        <w:ind w:left="774"/>
        <w:jc w:val="both"/>
        <w:rPr>
          <w:rFonts w:eastAsiaTheme="minorHAnsi" w:cs="Calibri"/>
          <w:sz w:val="24"/>
          <w:szCs w:val="24"/>
        </w:rPr>
      </w:pPr>
      <w:r>
        <w:rPr>
          <w:rFonts w:eastAsiaTheme="minorHAnsi" w:cs="Calibri"/>
          <w:sz w:val="24"/>
          <w:szCs w:val="24"/>
        </w:rPr>
        <w:t>Responsabil financiar,</w:t>
      </w:r>
    </w:p>
    <w:p w:rsidR="00BE1CE9" w:rsidRPr="0056168D" w:rsidRDefault="00BE1CE9" w:rsidP="00BE1CE9">
      <w:pPr>
        <w:pStyle w:val="ListParagraph"/>
        <w:autoSpaceDE w:val="0"/>
        <w:autoSpaceDN w:val="0"/>
        <w:adjustRightInd w:val="0"/>
        <w:spacing w:after="0" w:line="240" w:lineRule="auto"/>
        <w:ind w:left="774"/>
        <w:jc w:val="both"/>
        <w:rPr>
          <w:rFonts w:eastAsiaTheme="minorHAnsi" w:cs="Calibri"/>
          <w:sz w:val="24"/>
          <w:szCs w:val="24"/>
        </w:rPr>
      </w:pPr>
      <w:r>
        <w:rPr>
          <w:rFonts w:eastAsiaTheme="minorHAnsi" w:cs="Calibri"/>
          <w:sz w:val="24"/>
          <w:szCs w:val="24"/>
        </w:rPr>
        <w:t>Cristina Vasile</w:t>
      </w:r>
    </w:p>
    <w:p w:rsidR="00F12056" w:rsidRDefault="00F12056"/>
    <w:sectPr w:rsidR="00F12056" w:rsidSect="00F0393E">
      <w:headerReference w:type="default" r:id="rId5"/>
      <w:pgSz w:w="11906" w:h="16838"/>
      <w:pgMar w:top="115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4C01" w:rsidRDefault="0045077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5" type="#_x0000_t75" style="position:absolute;margin-left:-47.15pt;margin-top:-25.45pt;width:553.8pt;height:104.7pt;z-index:251658240;visibility:visible" wrapcoords="-59 0 -59 21352 21588 21352 21588 0 -59 0">
          <v:imagedata r:id="rId1" o:title="OIR_SUD M_logouri-color"/>
          <w10:wrap type="through"/>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C77368"/>
    <w:multiLevelType w:val="multilevel"/>
    <w:tmpl w:val="508BAA47"/>
    <w:lvl w:ilvl="0">
      <w:start w:val="1"/>
      <w:numFmt w:val="lowerLetter"/>
      <w:lvlText w:val="%1)"/>
      <w:lvlJc w:val="left"/>
      <w:pPr>
        <w:tabs>
          <w:tab w:val="num" w:pos="720"/>
        </w:tabs>
        <w:ind w:left="720" w:hanging="360"/>
      </w:pPr>
      <w:rPr>
        <w:rFonts w:ascii="Times New Roman" w:hAnsi="Times New Roman" w:cs="Times New Roman"/>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1">
    <w:nsid w:val="4E1A660C"/>
    <w:multiLevelType w:val="multilevel"/>
    <w:tmpl w:val="611F4068"/>
    <w:lvl w:ilvl="0">
      <w:numFmt w:val="bullet"/>
      <w:lvlText w:val="-"/>
      <w:lvlJc w:val="left"/>
      <w:pPr>
        <w:tabs>
          <w:tab w:val="num" w:pos="780"/>
        </w:tabs>
        <w:ind w:left="780" w:hanging="360"/>
      </w:pPr>
      <w:rPr>
        <w:rFonts w:ascii="Arial" w:hAnsi="Arial" w:cs="Arial"/>
        <w:sz w:val="24"/>
        <w:szCs w:val="24"/>
      </w:rPr>
    </w:lvl>
    <w:lvl w:ilvl="1">
      <w:numFmt w:val="bullet"/>
      <w:lvlText w:val="o"/>
      <w:lvlJc w:val="left"/>
      <w:pPr>
        <w:tabs>
          <w:tab w:val="num" w:pos="1500"/>
        </w:tabs>
        <w:ind w:left="1500" w:hanging="360"/>
      </w:pPr>
      <w:rPr>
        <w:rFonts w:ascii="Courier New" w:hAnsi="Courier New" w:cs="Courier New"/>
        <w:sz w:val="24"/>
        <w:szCs w:val="24"/>
      </w:rPr>
    </w:lvl>
    <w:lvl w:ilvl="2">
      <w:numFmt w:val="bullet"/>
      <w:lvlText w:val="§"/>
      <w:lvlJc w:val="left"/>
      <w:pPr>
        <w:tabs>
          <w:tab w:val="num" w:pos="2220"/>
        </w:tabs>
        <w:ind w:left="2220" w:hanging="360"/>
      </w:pPr>
      <w:rPr>
        <w:rFonts w:ascii="Wingdings" w:hAnsi="Wingdings" w:cs="Wingdings"/>
        <w:sz w:val="24"/>
        <w:szCs w:val="24"/>
      </w:rPr>
    </w:lvl>
    <w:lvl w:ilvl="3">
      <w:numFmt w:val="bullet"/>
      <w:lvlText w:val="·"/>
      <w:lvlJc w:val="left"/>
      <w:pPr>
        <w:tabs>
          <w:tab w:val="num" w:pos="2940"/>
        </w:tabs>
        <w:ind w:left="2940" w:hanging="360"/>
      </w:pPr>
      <w:rPr>
        <w:rFonts w:ascii="Symbol" w:hAnsi="Symbol" w:cs="Symbol"/>
        <w:sz w:val="24"/>
        <w:szCs w:val="24"/>
      </w:rPr>
    </w:lvl>
    <w:lvl w:ilvl="4">
      <w:numFmt w:val="bullet"/>
      <w:lvlText w:val="o"/>
      <w:lvlJc w:val="left"/>
      <w:pPr>
        <w:tabs>
          <w:tab w:val="num" w:pos="3660"/>
        </w:tabs>
        <w:ind w:left="3660" w:hanging="360"/>
      </w:pPr>
      <w:rPr>
        <w:rFonts w:ascii="Courier New" w:hAnsi="Courier New" w:cs="Courier New"/>
        <w:sz w:val="24"/>
        <w:szCs w:val="24"/>
      </w:rPr>
    </w:lvl>
    <w:lvl w:ilvl="5">
      <w:numFmt w:val="bullet"/>
      <w:lvlText w:val="§"/>
      <w:lvlJc w:val="left"/>
      <w:pPr>
        <w:tabs>
          <w:tab w:val="num" w:pos="4380"/>
        </w:tabs>
        <w:ind w:left="4380" w:hanging="360"/>
      </w:pPr>
      <w:rPr>
        <w:rFonts w:ascii="Wingdings" w:hAnsi="Wingdings" w:cs="Wingdings"/>
        <w:sz w:val="24"/>
        <w:szCs w:val="24"/>
      </w:rPr>
    </w:lvl>
    <w:lvl w:ilvl="6">
      <w:numFmt w:val="bullet"/>
      <w:lvlText w:val="·"/>
      <w:lvlJc w:val="left"/>
      <w:pPr>
        <w:tabs>
          <w:tab w:val="num" w:pos="5100"/>
        </w:tabs>
        <w:ind w:left="5100" w:hanging="360"/>
      </w:pPr>
      <w:rPr>
        <w:rFonts w:ascii="Symbol" w:hAnsi="Symbol" w:cs="Symbol"/>
        <w:sz w:val="24"/>
        <w:szCs w:val="24"/>
      </w:rPr>
    </w:lvl>
    <w:lvl w:ilvl="7">
      <w:numFmt w:val="bullet"/>
      <w:lvlText w:val="o"/>
      <w:lvlJc w:val="left"/>
      <w:pPr>
        <w:tabs>
          <w:tab w:val="num" w:pos="5820"/>
        </w:tabs>
        <w:ind w:left="5820" w:hanging="360"/>
      </w:pPr>
      <w:rPr>
        <w:rFonts w:ascii="Courier New" w:hAnsi="Courier New" w:cs="Courier New"/>
        <w:sz w:val="24"/>
        <w:szCs w:val="24"/>
      </w:rPr>
    </w:lvl>
    <w:lvl w:ilvl="8">
      <w:numFmt w:val="bullet"/>
      <w:lvlText w:val="§"/>
      <w:lvlJc w:val="left"/>
      <w:pPr>
        <w:tabs>
          <w:tab w:val="num" w:pos="6540"/>
        </w:tabs>
        <w:ind w:left="6540" w:hanging="360"/>
      </w:pPr>
      <w:rPr>
        <w:rFonts w:ascii="Wingdings" w:hAnsi="Wingdings" w:cs="Wingdings"/>
        <w:sz w:val="24"/>
        <w:szCs w:val="24"/>
      </w:rPr>
    </w:lvl>
  </w:abstractNum>
  <w:abstractNum w:abstractNumId="2">
    <w:nsid w:val="4F26C740"/>
    <w:multiLevelType w:val="multilevel"/>
    <w:tmpl w:val="6ADF370C"/>
    <w:lvl w:ilvl="0">
      <w:numFmt w:val="bullet"/>
      <w:lvlText w:val="-"/>
      <w:lvlJc w:val="left"/>
      <w:pPr>
        <w:tabs>
          <w:tab w:val="num" w:pos="1440"/>
        </w:tabs>
        <w:ind w:left="1440" w:hanging="360"/>
      </w:pPr>
      <w:rPr>
        <w:rFonts w:ascii="Arial" w:hAnsi="Arial" w:cs="Arial"/>
        <w:sz w:val="24"/>
        <w:szCs w:val="24"/>
      </w:rPr>
    </w:lvl>
    <w:lvl w:ilvl="1">
      <w:numFmt w:val="bullet"/>
      <w:lvlText w:val="o"/>
      <w:lvlJc w:val="left"/>
      <w:pPr>
        <w:tabs>
          <w:tab w:val="num" w:pos="2160"/>
        </w:tabs>
        <w:ind w:left="2160" w:hanging="360"/>
      </w:pPr>
      <w:rPr>
        <w:rFonts w:ascii="Courier New" w:hAnsi="Courier New" w:cs="Courier New"/>
        <w:sz w:val="24"/>
        <w:szCs w:val="24"/>
      </w:rPr>
    </w:lvl>
    <w:lvl w:ilvl="2">
      <w:numFmt w:val="bullet"/>
      <w:lvlText w:val="§"/>
      <w:lvlJc w:val="left"/>
      <w:pPr>
        <w:tabs>
          <w:tab w:val="num" w:pos="2880"/>
        </w:tabs>
        <w:ind w:left="2880" w:hanging="360"/>
      </w:pPr>
      <w:rPr>
        <w:rFonts w:ascii="Wingdings" w:hAnsi="Wingdings" w:cs="Wingdings"/>
        <w:sz w:val="24"/>
        <w:szCs w:val="24"/>
      </w:rPr>
    </w:lvl>
    <w:lvl w:ilvl="3">
      <w:numFmt w:val="bullet"/>
      <w:lvlText w:val="·"/>
      <w:lvlJc w:val="left"/>
      <w:pPr>
        <w:tabs>
          <w:tab w:val="num" w:pos="3600"/>
        </w:tabs>
        <w:ind w:left="3600" w:hanging="360"/>
      </w:pPr>
      <w:rPr>
        <w:rFonts w:ascii="Symbol" w:hAnsi="Symbol" w:cs="Symbol"/>
        <w:sz w:val="24"/>
        <w:szCs w:val="24"/>
      </w:rPr>
    </w:lvl>
    <w:lvl w:ilvl="4">
      <w:numFmt w:val="bullet"/>
      <w:lvlText w:val="o"/>
      <w:lvlJc w:val="left"/>
      <w:pPr>
        <w:tabs>
          <w:tab w:val="num" w:pos="4320"/>
        </w:tabs>
        <w:ind w:left="4320" w:hanging="360"/>
      </w:pPr>
      <w:rPr>
        <w:rFonts w:ascii="Courier New" w:hAnsi="Courier New" w:cs="Courier New"/>
        <w:sz w:val="24"/>
        <w:szCs w:val="24"/>
      </w:rPr>
    </w:lvl>
    <w:lvl w:ilvl="5">
      <w:numFmt w:val="bullet"/>
      <w:lvlText w:val="§"/>
      <w:lvlJc w:val="left"/>
      <w:pPr>
        <w:tabs>
          <w:tab w:val="num" w:pos="5040"/>
        </w:tabs>
        <w:ind w:left="5040" w:hanging="360"/>
      </w:pPr>
      <w:rPr>
        <w:rFonts w:ascii="Wingdings" w:hAnsi="Wingdings" w:cs="Wingdings"/>
        <w:sz w:val="24"/>
        <w:szCs w:val="24"/>
      </w:rPr>
    </w:lvl>
    <w:lvl w:ilvl="6">
      <w:numFmt w:val="bullet"/>
      <w:lvlText w:val="·"/>
      <w:lvlJc w:val="left"/>
      <w:pPr>
        <w:tabs>
          <w:tab w:val="num" w:pos="5760"/>
        </w:tabs>
        <w:ind w:left="5760" w:hanging="360"/>
      </w:pPr>
      <w:rPr>
        <w:rFonts w:ascii="Symbol" w:hAnsi="Symbol" w:cs="Symbol"/>
        <w:sz w:val="24"/>
        <w:szCs w:val="24"/>
      </w:rPr>
    </w:lvl>
    <w:lvl w:ilvl="7">
      <w:numFmt w:val="bullet"/>
      <w:lvlText w:val="o"/>
      <w:lvlJc w:val="left"/>
      <w:pPr>
        <w:tabs>
          <w:tab w:val="num" w:pos="6480"/>
        </w:tabs>
        <w:ind w:left="6480" w:hanging="360"/>
      </w:pPr>
      <w:rPr>
        <w:rFonts w:ascii="Courier New" w:hAnsi="Courier New" w:cs="Courier New"/>
        <w:sz w:val="24"/>
        <w:szCs w:val="24"/>
      </w:rPr>
    </w:lvl>
    <w:lvl w:ilvl="8">
      <w:numFmt w:val="bullet"/>
      <w:lvlText w:val="§"/>
      <w:lvlJc w:val="left"/>
      <w:pPr>
        <w:tabs>
          <w:tab w:val="num" w:pos="7200"/>
        </w:tabs>
        <w:ind w:left="7200" w:hanging="360"/>
      </w:pPr>
      <w:rPr>
        <w:rFonts w:ascii="Wingdings" w:hAnsi="Wingdings" w:cs="Wingdings"/>
        <w:sz w:val="24"/>
        <w:szCs w:val="24"/>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hdrShapeDefaults>
    <o:shapedefaults v:ext="edit" spidmax="3074"/>
    <o:shapelayout v:ext="edit">
      <o:idmap v:ext="edit" data="1"/>
    </o:shapelayout>
  </w:hdrShapeDefaults>
  <w:compat/>
  <w:rsids>
    <w:rsidRoot w:val="00BE1CE9"/>
    <w:rsid w:val="00450776"/>
    <w:rsid w:val="006F428D"/>
    <w:rsid w:val="00914698"/>
    <w:rsid w:val="00A16A20"/>
    <w:rsid w:val="00BE1CE9"/>
    <w:rsid w:val="00E81F82"/>
    <w:rsid w:val="00F12056"/>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1CE9"/>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BE1CE9"/>
    <w:pPr>
      <w:tabs>
        <w:tab w:val="center" w:pos="4536"/>
        <w:tab w:val="right" w:pos="9072"/>
      </w:tabs>
      <w:spacing w:after="0" w:line="240" w:lineRule="auto"/>
    </w:pPr>
  </w:style>
  <w:style w:type="character" w:customStyle="1" w:styleId="HeaderChar">
    <w:name w:val="Header Char"/>
    <w:basedOn w:val="DefaultParagraphFont"/>
    <w:link w:val="Header"/>
    <w:semiHidden/>
    <w:rsid w:val="00BE1CE9"/>
    <w:rPr>
      <w:rFonts w:ascii="Calibri" w:eastAsia="Calibri" w:hAnsi="Calibri" w:cs="Times New Roman"/>
    </w:rPr>
  </w:style>
  <w:style w:type="paragraph" w:styleId="ListParagraph">
    <w:name w:val="List Paragraph"/>
    <w:basedOn w:val="Normal"/>
    <w:uiPriority w:val="34"/>
    <w:qFormat/>
    <w:rsid w:val="00BE1CE9"/>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eader" Target="header1.xml"/><Relationship Id="rId4"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221</Words>
  <Characters>1286</Characters>
  <Application>Microsoft Office Word</Application>
  <DocSecurity>0</DocSecurity>
  <Lines>10</Lines>
  <Paragraphs>3</Paragraphs>
  <ScaleCrop>false</ScaleCrop>
  <Company>Grizli777</Company>
  <LinksUpToDate>false</LinksUpToDate>
  <CharactersWithSpaces>1504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 Vasile</dc:creator>
  <cp:lastModifiedBy>Cristina Vasile</cp:lastModifiedBy>
  <cp:revision>2</cp:revision>
  <dcterms:created xsi:type="dcterms:W3CDTF">2014-10-03T06:38:00Z</dcterms:created>
  <dcterms:modified xsi:type="dcterms:W3CDTF">2014-10-03T06:40:00Z</dcterms:modified>
</cp:coreProperties>
</file>